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667DB617" w:rsidR="007604F2" w:rsidRPr="001D790F" w:rsidRDefault="007604F2" w:rsidP="003B5FF4">
      <w:pPr>
        <w:widowControl w:val="0"/>
        <w:tabs>
          <w:tab w:val="right" w:pos="8505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bookmarkEnd w:id="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5E5183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</w:t>
      </w:r>
      <w:r w:rsidR="00BE4DCB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0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     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7A682E" w:rsidRPr="001D790F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693EB2" w:rsidRPr="001D790F">
        <w:rPr>
          <w:rFonts w:ascii="Arial" w:hAnsi="Arial" w:cs="Arial"/>
          <w:b/>
          <w:bCs/>
          <w:noProof/>
          <w:sz w:val="24"/>
          <w:szCs w:val="24"/>
        </w:rPr>
        <w:t>1712657</w:t>
      </w:r>
    </w:p>
    <w:p w14:paraId="766D1BAF" w14:textId="139A2287" w:rsidR="007604F2" w:rsidRPr="007604F2" w:rsidRDefault="00BE4DCB" w:rsidP="003B5FF4">
      <w:pPr>
        <w:widowControl w:val="0"/>
        <w:tabs>
          <w:tab w:val="right" w:pos="7655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 w:rsidRPr="001D790F">
        <w:rPr>
          <w:rFonts w:ascii="Arial" w:hAnsi="Arial" w:cs="Arial"/>
          <w:b/>
          <w:bCs/>
          <w:noProof/>
          <w:sz w:val="24"/>
          <w:szCs w:val="24"/>
        </w:rPr>
        <w:t>Prague, Czech Republic</w:t>
      </w:r>
      <w:r w:rsidR="007604F2" w:rsidRPr="001D790F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1D790F">
        <w:rPr>
          <w:rFonts w:ascii="Arial" w:hAnsi="Arial" w:cs="Arial"/>
          <w:b/>
          <w:bCs/>
          <w:noProof/>
          <w:sz w:val="24"/>
          <w:szCs w:val="24"/>
        </w:rPr>
        <w:t xml:space="preserve">21 </w:t>
      </w:r>
      <w:r w:rsidR="00941D99" w:rsidRPr="001D790F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Pr="001D790F">
        <w:rPr>
          <w:rFonts w:ascii="Arial" w:hAnsi="Arial" w:cs="Arial"/>
          <w:b/>
          <w:bCs/>
          <w:noProof/>
          <w:sz w:val="24"/>
          <w:szCs w:val="24"/>
        </w:rPr>
        <w:t xml:space="preserve">25 August </w:t>
      </w:r>
      <w:r w:rsidR="00941D99" w:rsidRPr="001D790F">
        <w:rPr>
          <w:rFonts w:ascii="Arial" w:hAnsi="Arial" w:cs="Arial"/>
          <w:b/>
          <w:bCs/>
          <w:noProof/>
          <w:sz w:val="24"/>
          <w:szCs w:val="24"/>
        </w:rPr>
        <w:t>2017</w:t>
      </w:r>
      <w:r w:rsidR="003B5FF4">
        <w:rPr>
          <w:rFonts w:ascii="Arial" w:hAnsi="Arial" w:cs="Arial"/>
          <w:b/>
          <w:bCs/>
          <w:noProof/>
          <w:sz w:val="24"/>
          <w:szCs w:val="24"/>
        </w:rPr>
        <w:tab/>
      </w:r>
      <w:r w:rsidR="003B5FF4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7B4A94D2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517AB9">
        <w:rPr>
          <w:sz w:val="22"/>
          <w:szCs w:val="22"/>
          <w:lang w:val="en-US"/>
        </w:rPr>
        <w:t>Conclusion on</w:t>
      </w:r>
      <w:r w:rsidR="005E5183">
        <w:rPr>
          <w:sz w:val="22"/>
          <w:szCs w:val="22"/>
          <w:lang w:val="en-US"/>
        </w:rPr>
        <w:t xml:space="preserve"> transmit diversity for V2X</w:t>
      </w:r>
    </w:p>
    <w:p w14:paraId="35A90F35" w14:textId="314AE1EC" w:rsidR="00005DBD" w:rsidRPr="009113B3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9113B3">
        <w:rPr>
          <w:sz w:val="22"/>
          <w:szCs w:val="22"/>
          <w:lang w:val="en-US"/>
        </w:rPr>
        <w:t>Agenda Item:</w:t>
      </w:r>
      <w:r w:rsidRPr="009113B3">
        <w:rPr>
          <w:sz w:val="22"/>
          <w:szCs w:val="22"/>
          <w:lang w:val="en-US"/>
        </w:rPr>
        <w:tab/>
      </w:r>
      <w:r w:rsidR="00BE4DCB">
        <w:rPr>
          <w:sz w:val="22"/>
          <w:szCs w:val="22"/>
          <w:lang w:val="en-US"/>
        </w:rPr>
        <w:t>5</w:t>
      </w:r>
      <w:r w:rsidR="005E5183" w:rsidRPr="005E5183">
        <w:rPr>
          <w:sz w:val="22"/>
          <w:szCs w:val="22"/>
          <w:lang w:val="en-US"/>
        </w:rPr>
        <w:t>.2.3.</w:t>
      </w:r>
      <w:r w:rsidR="00BE4DCB">
        <w:rPr>
          <w:sz w:val="22"/>
          <w:szCs w:val="22"/>
          <w:lang w:val="en-US"/>
        </w:rPr>
        <w:t>3</w:t>
      </w:r>
      <w:r w:rsidR="005E5183" w:rsidRPr="005E5183">
        <w:rPr>
          <w:sz w:val="22"/>
          <w:szCs w:val="22"/>
          <w:lang w:val="en-US"/>
        </w:rPr>
        <w:t>.</w:t>
      </w:r>
      <w:r w:rsidR="00896554">
        <w:rPr>
          <w:sz w:val="22"/>
          <w:szCs w:val="22"/>
          <w:lang w:val="en-US"/>
        </w:rPr>
        <w:t>3</w:t>
      </w:r>
      <w:r w:rsidR="005E5183">
        <w:t>             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0C00572A" w14:textId="62049924" w:rsidR="00DF3FAA" w:rsidRDefault="00EF2330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8F1809">
        <w:rPr>
          <w:sz w:val="20"/>
          <w:szCs w:val="20"/>
        </w:rPr>
        <w:t>RAN</w:t>
      </w:r>
      <w:r w:rsidR="00517AB9">
        <w:rPr>
          <w:sz w:val="20"/>
          <w:szCs w:val="20"/>
        </w:rPr>
        <w:t xml:space="preserve"> agreed on the following objective for the </w:t>
      </w:r>
      <w:r w:rsidR="00931ABA">
        <w:rPr>
          <w:sz w:val="20"/>
          <w:szCs w:val="20"/>
        </w:rPr>
        <w:t>Rel-15 V2X work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3"/>
      </w:tblGrid>
      <w:tr w:rsidR="00517AB9" w14:paraId="3D723B9B" w14:textId="77777777" w:rsidTr="00517AB9">
        <w:tc>
          <w:tcPr>
            <w:tcW w:w="10253" w:type="dxa"/>
          </w:tcPr>
          <w:p w14:paraId="0314046F" w14:textId="77777777" w:rsidR="00517AB9" w:rsidRPr="00517AB9" w:rsidRDefault="00517AB9" w:rsidP="00517AB9">
            <w:pPr>
              <w:overflowPunct w:val="0"/>
              <w:autoSpaceDE w:val="0"/>
              <w:autoSpaceDN w:val="0"/>
              <w:spacing w:before="240"/>
              <w:jc w:val="both"/>
              <w:rPr>
                <w:lang w:eastAsia="zh-CN"/>
              </w:rPr>
            </w:pPr>
            <w:r w:rsidRPr="00517AB9">
              <w:rPr>
                <w:lang w:eastAsia="zh-CN"/>
              </w:rPr>
              <w:t>The detailed objectives of this work item are as follows:</w:t>
            </w:r>
          </w:p>
          <w:p w14:paraId="0971EE66" w14:textId="6B804BB2" w:rsidR="00517AB9" w:rsidRDefault="00517AB9" w:rsidP="00517AB9">
            <w:pPr>
              <w:overflowPunct w:val="0"/>
              <w:autoSpaceDE w:val="0"/>
              <w:autoSpaceDN w:val="0"/>
              <w:ind w:left="420"/>
              <w:jc w:val="both"/>
              <w:rPr>
                <w:lang w:eastAsia="zh-CN"/>
              </w:rPr>
            </w:pPr>
            <w:r>
              <w:rPr>
                <w:lang w:eastAsia="zh-CN"/>
              </w:rPr>
              <w:t>(…)</w:t>
            </w:r>
          </w:p>
          <w:p w14:paraId="6EAFA72F" w14:textId="77777777" w:rsidR="00517AB9" w:rsidRDefault="00517AB9" w:rsidP="00517A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jc w:val="both"/>
              <w:rPr>
                <w:lang w:eastAsia="zh-CN"/>
              </w:rPr>
            </w:pPr>
            <w:r w:rsidRPr="00517AB9">
              <w:rPr>
                <w:lang w:eastAsia="zh-CN"/>
              </w:rPr>
              <w:t>Study the feasibility and gain of PC5 operation with Transmit Diversity, assuming this PC5 functionality would co-exist in the same resource pools as Rel-14 functionality and use the same scheduling assignment format (</w:t>
            </w:r>
            <w:r w:rsidRPr="00517AB9">
              <w:t>which can be decoded by Rel-14 UEs</w:t>
            </w:r>
            <w:r w:rsidRPr="00517AB9">
              <w:rPr>
                <w:lang w:eastAsia="zh-CN"/>
              </w:rPr>
              <w:t>), without causing significant degradation to Rel-14 PC5 operation compared to that of Rel-14 UEs, and specify this PC5 functionality if justified. [RAN1, RAN2, RAN4]</w:t>
            </w:r>
          </w:p>
          <w:p w14:paraId="3F626966" w14:textId="37695066" w:rsidR="00517AB9" w:rsidRDefault="00517AB9" w:rsidP="00517AB9">
            <w:pPr>
              <w:overflowPunct w:val="0"/>
              <w:autoSpaceDE w:val="0"/>
              <w:autoSpaceDN w:val="0"/>
              <w:ind w:left="420"/>
              <w:jc w:val="both"/>
              <w:rPr>
                <w:lang w:eastAsia="zh-CN"/>
              </w:rPr>
            </w:pPr>
            <w:r>
              <w:rPr>
                <w:lang w:eastAsia="zh-CN"/>
              </w:rPr>
              <w:t>(…)</w:t>
            </w:r>
          </w:p>
        </w:tc>
      </w:tr>
    </w:tbl>
    <w:p w14:paraId="39C7241C" w14:textId="4858E8B7" w:rsidR="00517AB9" w:rsidRDefault="00517AB9" w:rsidP="00517AB9">
      <w:pPr>
        <w:overflowPunct w:val="0"/>
        <w:autoSpaceDE w:val="0"/>
        <w:autoSpaceDN w:val="0"/>
        <w:jc w:val="both"/>
        <w:rPr>
          <w:lang w:eastAsia="zh-CN"/>
        </w:rPr>
      </w:pPr>
    </w:p>
    <w:p w14:paraId="15E49285" w14:textId="7C34AE70" w:rsidR="00517AB9" w:rsidRDefault="00517AB9" w:rsidP="00517AB9">
      <w:pPr>
        <w:overflowPunct w:val="0"/>
        <w:autoSpaceDE w:val="0"/>
        <w:autoSpaceDN w:val="0"/>
        <w:jc w:val="both"/>
        <w:rPr>
          <w:lang w:eastAsia="zh-CN"/>
        </w:rPr>
      </w:pPr>
      <w:r>
        <w:rPr>
          <w:lang w:eastAsia="zh-CN"/>
        </w:rPr>
        <w:t xml:space="preserve">According to the work plan for the WI presented by the rapporteurs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_Ref489631311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D790F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, the study phase </w:t>
      </w:r>
      <w:r w:rsidR="003306ED">
        <w:rPr>
          <w:lang w:eastAsia="zh-CN"/>
        </w:rPr>
        <w:t>for transmit diversity concludes this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3"/>
      </w:tblGrid>
      <w:tr w:rsidR="00517AB9" w14:paraId="37500BF2" w14:textId="77777777" w:rsidTr="00517AB9">
        <w:tc>
          <w:tcPr>
            <w:tcW w:w="10253" w:type="dxa"/>
          </w:tcPr>
          <w:p w14:paraId="4265B21C" w14:textId="77777777" w:rsidR="00517AB9" w:rsidRPr="00517AB9" w:rsidRDefault="00517AB9" w:rsidP="00BB07B1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Theme="minorEastAsia"/>
                <w:b/>
              </w:rPr>
            </w:pPr>
            <w:r w:rsidRPr="00517AB9">
              <w:rPr>
                <w:rFonts w:eastAsiaTheme="minorEastAsia"/>
                <w:b/>
              </w:rPr>
              <w:t xml:space="preserve">RAN1#90 </w:t>
            </w:r>
            <w:r w:rsidRPr="00517AB9">
              <w:rPr>
                <w:b/>
                <w:lang w:eastAsia="zh-CN"/>
              </w:rPr>
              <w:t>(2 TUs)</w:t>
            </w:r>
          </w:p>
          <w:p w14:paraId="526EB0FD" w14:textId="77777777" w:rsidR="00517AB9" w:rsidRPr="00517AB9" w:rsidRDefault="00517AB9" w:rsidP="00517AB9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</w:rPr>
            </w:pPr>
            <w:r w:rsidRPr="00517AB9">
              <w:rPr>
                <w:rFonts w:eastAsiaTheme="minorEastAsia"/>
              </w:rPr>
              <w:t>Finalize transmit diversity study.</w:t>
            </w:r>
          </w:p>
          <w:p w14:paraId="7B88CB6C" w14:textId="77777777" w:rsidR="00517AB9" w:rsidRPr="00517AB9" w:rsidRDefault="00517AB9" w:rsidP="00517AB9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</w:rPr>
            </w:pPr>
            <w:r w:rsidRPr="00517AB9">
              <w:rPr>
                <w:rFonts w:eastAsiaTheme="minorEastAsia"/>
              </w:rPr>
              <w:t xml:space="preserve">Finalize short TTI study. Send LS to RAN to provide RAN1 recommendations and conclusions about </w:t>
            </w:r>
            <w:r w:rsidRPr="00517AB9">
              <w:rPr>
                <w:rFonts w:eastAsiaTheme="minorEastAsia"/>
                <w:lang w:eastAsia="zh-CN"/>
              </w:rPr>
              <w:t>short TTI</w:t>
            </w:r>
          </w:p>
          <w:p w14:paraId="49F0F58E" w14:textId="77777777" w:rsidR="00517AB9" w:rsidRPr="00517AB9" w:rsidRDefault="00517AB9" w:rsidP="00517AB9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</w:rPr>
            </w:pPr>
            <w:r w:rsidRPr="00517AB9">
              <w:rPr>
                <w:rFonts w:eastAsiaTheme="minorEastAsia"/>
              </w:rPr>
              <w:t>Finalize main design of CA. LSs to RAN2/RAN4</w:t>
            </w:r>
          </w:p>
          <w:p w14:paraId="68C060D7" w14:textId="706A2798" w:rsidR="00517AB9" w:rsidRPr="00BB07B1" w:rsidRDefault="00517AB9" w:rsidP="00BB07B1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</w:rPr>
            </w:pPr>
            <w:r w:rsidRPr="00517AB9">
              <w:rPr>
                <w:rFonts w:eastAsiaTheme="minorEastAsia"/>
              </w:rPr>
              <w:t>Agree on 64-QAM details. Send LS to RAN4</w:t>
            </w:r>
          </w:p>
        </w:tc>
      </w:tr>
    </w:tbl>
    <w:p w14:paraId="2421F260" w14:textId="6A88D368" w:rsidR="00A8419E" w:rsidRDefault="009113B3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8F1809">
        <w:rPr>
          <w:sz w:val="20"/>
          <w:szCs w:val="20"/>
        </w:rPr>
        <w:t>In this contribution we present</w:t>
      </w:r>
      <w:r w:rsidR="00931ABA">
        <w:rPr>
          <w:sz w:val="20"/>
          <w:szCs w:val="20"/>
        </w:rPr>
        <w:t xml:space="preserve"> our conclusion and recommendation on transmit diversity.</w:t>
      </w:r>
      <w:r w:rsidRPr="008F1809">
        <w:rPr>
          <w:sz w:val="20"/>
          <w:szCs w:val="20"/>
        </w:rPr>
        <w:t xml:space="preserve"> </w:t>
      </w:r>
      <w:r w:rsidR="00A8419E">
        <w:rPr>
          <w:sz w:val="20"/>
          <w:szCs w:val="20"/>
        </w:rPr>
        <w:t xml:space="preserve">General discussions </w:t>
      </w:r>
      <w:r w:rsidR="00711C84">
        <w:rPr>
          <w:sz w:val="20"/>
          <w:szCs w:val="20"/>
        </w:rPr>
        <w:t>o</w:t>
      </w:r>
      <w:r w:rsidR="00A8419E">
        <w:rPr>
          <w:sz w:val="20"/>
          <w:szCs w:val="20"/>
        </w:rPr>
        <w:t xml:space="preserve">n transmit diversity </w:t>
      </w:r>
      <w:r w:rsidR="009363F4">
        <w:rPr>
          <w:sz w:val="20"/>
          <w:szCs w:val="20"/>
        </w:rPr>
        <w:t xml:space="preserve">and </w:t>
      </w:r>
      <w:r w:rsidR="003306ED">
        <w:rPr>
          <w:sz w:val="20"/>
          <w:szCs w:val="20"/>
        </w:rPr>
        <w:t>evaluation results</w:t>
      </w:r>
      <w:r w:rsidR="009363F4">
        <w:rPr>
          <w:sz w:val="20"/>
          <w:szCs w:val="20"/>
        </w:rPr>
        <w:t xml:space="preserve"> </w:t>
      </w:r>
      <w:r w:rsidR="00A8419E">
        <w:rPr>
          <w:sz w:val="20"/>
          <w:szCs w:val="20"/>
        </w:rPr>
        <w:t>are presented in our contribution</w:t>
      </w:r>
      <w:r w:rsidR="009363F4">
        <w:rPr>
          <w:sz w:val="20"/>
          <w:szCs w:val="20"/>
        </w:rPr>
        <w:t>s</w:t>
      </w:r>
      <w:r w:rsidR="00A8419E">
        <w:rPr>
          <w:sz w:val="20"/>
          <w:szCs w:val="20"/>
        </w:rPr>
        <w:t xml:space="preserve"> </w:t>
      </w:r>
      <w:r w:rsidR="003306ED">
        <w:rPr>
          <w:sz w:val="20"/>
          <w:szCs w:val="20"/>
        </w:rPr>
        <w:fldChar w:fldCharType="begin"/>
      </w:r>
      <w:r w:rsidR="003306ED">
        <w:rPr>
          <w:sz w:val="20"/>
          <w:szCs w:val="20"/>
        </w:rPr>
        <w:instrText xml:space="preserve"> REF _Ref489631528 \r \h </w:instrText>
      </w:r>
      <w:r w:rsidR="003306ED">
        <w:rPr>
          <w:sz w:val="20"/>
          <w:szCs w:val="20"/>
        </w:rPr>
      </w:r>
      <w:r w:rsidR="003306ED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[3]</w:t>
      </w:r>
      <w:r w:rsidR="003306ED">
        <w:rPr>
          <w:sz w:val="20"/>
          <w:szCs w:val="20"/>
        </w:rPr>
        <w:fldChar w:fldCharType="end"/>
      </w:r>
      <w:r w:rsidR="009363F4">
        <w:rPr>
          <w:sz w:val="20"/>
          <w:szCs w:val="20"/>
        </w:rPr>
        <w:t xml:space="preserve"> and </w:t>
      </w:r>
      <w:r w:rsidR="00F85A57">
        <w:rPr>
          <w:sz w:val="20"/>
          <w:szCs w:val="20"/>
          <w:highlight w:val="yellow"/>
        </w:rPr>
        <w:fldChar w:fldCharType="begin"/>
      </w:r>
      <w:r w:rsidR="00F85A57">
        <w:rPr>
          <w:sz w:val="20"/>
          <w:szCs w:val="20"/>
        </w:rPr>
        <w:instrText xml:space="preserve"> REF _Ref489630406 \r \h </w:instrText>
      </w:r>
      <w:r w:rsidR="00F85A57">
        <w:rPr>
          <w:sz w:val="20"/>
          <w:szCs w:val="20"/>
          <w:highlight w:val="yellow"/>
        </w:rPr>
      </w:r>
      <w:r w:rsidR="00F85A57">
        <w:rPr>
          <w:sz w:val="20"/>
          <w:szCs w:val="20"/>
          <w:highlight w:val="yellow"/>
        </w:rPr>
        <w:fldChar w:fldCharType="separate"/>
      </w:r>
      <w:r w:rsidR="001D790F">
        <w:rPr>
          <w:sz w:val="20"/>
          <w:szCs w:val="20"/>
        </w:rPr>
        <w:t>[4]</w:t>
      </w:r>
      <w:r w:rsidR="00F85A57">
        <w:rPr>
          <w:sz w:val="20"/>
          <w:szCs w:val="20"/>
          <w:highlight w:val="yellow"/>
        </w:rPr>
        <w:fldChar w:fldCharType="end"/>
      </w:r>
      <w:r w:rsidR="009363F4">
        <w:rPr>
          <w:sz w:val="20"/>
          <w:szCs w:val="20"/>
        </w:rPr>
        <w:t>, respectively</w:t>
      </w:r>
      <w:r w:rsidR="00367E70">
        <w:rPr>
          <w:sz w:val="20"/>
          <w:szCs w:val="20"/>
        </w:rPr>
        <w:t>.</w:t>
      </w:r>
    </w:p>
    <w:p w14:paraId="79877840" w14:textId="23F5CE30" w:rsidR="001C33A7" w:rsidRDefault="009363F4" w:rsidP="001C33A7">
      <w:pPr>
        <w:pStyle w:val="Heading1"/>
      </w:pPr>
      <w:bookmarkStart w:id="4" w:name="_Ref481578579"/>
      <w:bookmarkEnd w:id="4"/>
      <w:r>
        <w:t>Discussion</w:t>
      </w:r>
      <w:r w:rsidR="003306ED">
        <w:t xml:space="preserve"> and recommendation.</w:t>
      </w:r>
    </w:p>
    <w:p w14:paraId="39D8CB92" w14:textId="0D9E7E0C" w:rsidR="00E7536B" w:rsidRDefault="00912077" w:rsidP="007819F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In RAN1#89</w:t>
      </w:r>
      <w:r w:rsidR="00581794">
        <w:rPr>
          <w:sz w:val="20"/>
          <w:szCs w:val="20"/>
        </w:rPr>
        <w:t>, many companies provided evaluation results on transmit diversity</w:t>
      </w:r>
      <w:r w:rsidR="00A53B72">
        <w:rPr>
          <w:sz w:val="20"/>
          <w:szCs w:val="20"/>
        </w:rPr>
        <w:t xml:space="preserve"> </w:t>
      </w:r>
      <w:r w:rsidR="00A53B72">
        <w:rPr>
          <w:sz w:val="20"/>
          <w:szCs w:val="20"/>
        </w:rPr>
        <w:fldChar w:fldCharType="begin"/>
      </w:r>
      <w:r w:rsidR="00A53B72">
        <w:rPr>
          <w:sz w:val="20"/>
          <w:szCs w:val="20"/>
        </w:rPr>
        <w:instrText xml:space="preserve"> REF _Ref489633106 \r \h </w:instrText>
      </w:r>
      <w:r w:rsidR="00A53B72">
        <w:rPr>
          <w:sz w:val="20"/>
          <w:szCs w:val="20"/>
        </w:rPr>
      </w:r>
      <w:r w:rsidR="00A53B72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[5]</w:t>
      </w:r>
      <w:r w:rsidR="00A53B72">
        <w:rPr>
          <w:sz w:val="20"/>
          <w:szCs w:val="20"/>
        </w:rPr>
        <w:fldChar w:fldCharType="end"/>
      </w:r>
      <w:r w:rsidR="005B5373">
        <w:rPr>
          <w:sz w:val="20"/>
          <w:szCs w:val="20"/>
        </w:rPr>
        <w:t>-</w:t>
      </w:r>
      <w:r w:rsidR="005B5373">
        <w:rPr>
          <w:sz w:val="20"/>
          <w:szCs w:val="20"/>
        </w:rPr>
        <w:fldChar w:fldCharType="begin"/>
      </w:r>
      <w:r w:rsidR="005B5373">
        <w:rPr>
          <w:sz w:val="20"/>
          <w:szCs w:val="20"/>
        </w:rPr>
        <w:instrText xml:space="preserve"> REF _Ref489634035 \r \h </w:instrText>
      </w:r>
      <w:r w:rsidR="005B5373">
        <w:rPr>
          <w:sz w:val="20"/>
          <w:szCs w:val="20"/>
        </w:rPr>
      </w:r>
      <w:r w:rsidR="005B5373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[11]</w:t>
      </w:r>
      <w:r w:rsidR="005B5373">
        <w:rPr>
          <w:sz w:val="20"/>
          <w:szCs w:val="20"/>
        </w:rPr>
        <w:fldChar w:fldCharType="end"/>
      </w:r>
      <w:r w:rsidR="00581794">
        <w:rPr>
          <w:sz w:val="20"/>
          <w:szCs w:val="20"/>
        </w:rPr>
        <w:t>. In general lines, the following was observed</w:t>
      </w:r>
      <w:r w:rsidR="00A53B72">
        <w:rPr>
          <w:sz w:val="20"/>
          <w:szCs w:val="20"/>
        </w:rPr>
        <w:t>:</w:t>
      </w:r>
    </w:p>
    <w:p w14:paraId="6EBEC736" w14:textId="55E5B976" w:rsidR="00581794" w:rsidRDefault="00581794" w:rsidP="00581794">
      <w:pPr>
        <w:pStyle w:val="BodyText"/>
        <w:numPr>
          <w:ilvl w:val="0"/>
          <w:numId w:val="41"/>
        </w:num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For PSCCH transmission, the only transmit diversity scheme that is within the requirements of the WID is CDD</w:t>
      </w:r>
      <w:r w:rsidR="00A53B72">
        <w:rPr>
          <w:sz w:val="20"/>
          <w:szCs w:val="20"/>
        </w:rPr>
        <w:t xml:space="preserve"> </w:t>
      </w:r>
      <w:r w:rsidR="00A53B72">
        <w:rPr>
          <w:sz w:val="20"/>
          <w:szCs w:val="20"/>
        </w:rPr>
        <w:fldChar w:fldCharType="begin"/>
      </w:r>
      <w:r w:rsidR="00A53B72">
        <w:rPr>
          <w:sz w:val="20"/>
          <w:szCs w:val="20"/>
        </w:rPr>
        <w:instrText xml:space="preserve"> REF _Ref489633106 \r \h </w:instrText>
      </w:r>
      <w:r w:rsidR="00A53B72">
        <w:rPr>
          <w:sz w:val="20"/>
          <w:szCs w:val="20"/>
        </w:rPr>
      </w:r>
      <w:r w:rsidR="00A53B72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[5]</w:t>
      </w:r>
      <w:r w:rsidR="00A53B72">
        <w:rPr>
          <w:sz w:val="20"/>
          <w:szCs w:val="20"/>
        </w:rPr>
        <w:fldChar w:fldCharType="end"/>
      </w:r>
      <w:r w:rsidR="005B5373">
        <w:rPr>
          <w:sz w:val="20"/>
          <w:szCs w:val="20"/>
        </w:rPr>
        <w:t>,</w:t>
      </w:r>
      <w:r w:rsidR="005B5373">
        <w:rPr>
          <w:sz w:val="20"/>
          <w:szCs w:val="20"/>
        </w:rPr>
        <w:fldChar w:fldCharType="begin"/>
      </w:r>
      <w:r w:rsidR="005B5373">
        <w:rPr>
          <w:sz w:val="20"/>
          <w:szCs w:val="20"/>
        </w:rPr>
        <w:instrText xml:space="preserve"> REF _Ref489633919 \r \h </w:instrText>
      </w:r>
      <w:r w:rsidR="005B5373">
        <w:rPr>
          <w:sz w:val="20"/>
          <w:szCs w:val="20"/>
        </w:rPr>
      </w:r>
      <w:r w:rsidR="005B5373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[10]</w:t>
      </w:r>
      <w:r w:rsidR="005B5373">
        <w:rPr>
          <w:sz w:val="20"/>
          <w:szCs w:val="20"/>
        </w:rPr>
        <w:fldChar w:fldCharType="end"/>
      </w:r>
      <w:r>
        <w:rPr>
          <w:sz w:val="20"/>
          <w:szCs w:val="20"/>
        </w:rPr>
        <w:t>.</w:t>
      </w:r>
      <w:r w:rsidR="008606A4">
        <w:rPr>
          <w:sz w:val="20"/>
          <w:szCs w:val="20"/>
        </w:rPr>
        <w:t xml:space="preserve"> </w:t>
      </w:r>
    </w:p>
    <w:p w14:paraId="55F9C4A4" w14:textId="68CA3E3D" w:rsidR="00581794" w:rsidRDefault="00581794" w:rsidP="00581794">
      <w:pPr>
        <w:pStyle w:val="BodyText"/>
        <w:numPr>
          <w:ilvl w:val="0"/>
          <w:numId w:val="41"/>
        </w:num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For PSSCH transmission, several transmit diversity schemes were presented. Among these, the different Alamouti schemes showed the best performance</w:t>
      </w:r>
      <w:r w:rsidR="00A53B72">
        <w:rPr>
          <w:sz w:val="20"/>
          <w:szCs w:val="20"/>
        </w:rPr>
        <w:t xml:space="preserve"> </w:t>
      </w:r>
      <w:r w:rsidR="005B5373">
        <w:rPr>
          <w:sz w:val="20"/>
          <w:szCs w:val="20"/>
        </w:rPr>
        <w:fldChar w:fldCharType="begin"/>
      </w:r>
      <w:r w:rsidR="005B5373">
        <w:rPr>
          <w:sz w:val="20"/>
          <w:szCs w:val="20"/>
        </w:rPr>
        <w:instrText xml:space="preserve"> REF _Ref489631528 \r \h </w:instrText>
      </w:r>
      <w:r w:rsidR="005B5373">
        <w:rPr>
          <w:sz w:val="20"/>
          <w:szCs w:val="20"/>
        </w:rPr>
      </w:r>
      <w:r w:rsidR="005B5373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[3]</w:t>
      </w:r>
      <w:r w:rsidR="005B5373">
        <w:rPr>
          <w:sz w:val="20"/>
          <w:szCs w:val="20"/>
        </w:rPr>
        <w:fldChar w:fldCharType="end"/>
      </w:r>
      <w:r w:rsidR="005B5373">
        <w:rPr>
          <w:sz w:val="20"/>
          <w:szCs w:val="20"/>
        </w:rPr>
        <w:t>,</w:t>
      </w:r>
      <w:r w:rsidR="00A53B72">
        <w:rPr>
          <w:sz w:val="20"/>
          <w:szCs w:val="20"/>
        </w:rPr>
        <w:fldChar w:fldCharType="begin"/>
      </w:r>
      <w:r w:rsidR="00A53B72">
        <w:rPr>
          <w:sz w:val="20"/>
          <w:szCs w:val="20"/>
        </w:rPr>
        <w:instrText xml:space="preserve"> REF _Ref489633106 \r \h </w:instrText>
      </w:r>
      <w:r w:rsidR="00A53B72">
        <w:rPr>
          <w:sz w:val="20"/>
          <w:szCs w:val="20"/>
        </w:rPr>
      </w:r>
      <w:r w:rsidR="00A53B72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[5]</w:t>
      </w:r>
      <w:r w:rsidR="00A53B72">
        <w:rPr>
          <w:sz w:val="20"/>
          <w:szCs w:val="20"/>
        </w:rPr>
        <w:fldChar w:fldCharType="end"/>
      </w:r>
      <w:r w:rsidR="005B5373">
        <w:rPr>
          <w:sz w:val="20"/>
          <w:szCs w:val="20"/>
        </w:rPr>
        <w:t>,</w:t>
      </w:r>
      <w:r w:rsidR="005B5373">
        <w:rPr>
          <w:sz w:val="20"/>
          <w:szCs w:val="20"/>
        </w:rPr>
        <w:fldChar w:fldCharType="begin"/>
      </w:r>
      <w:r w:rsidR="005B5373">
        <w:rPr>
          <w:sz w:val="20"/>
          <w:szCs w:val="20"/>
        </w:rPr>
        <w:instrText xml:space="preserve"> REF _Ref489633640 \r \h </w:instrText>
      </w:r>
      <w:r w:rsidR="005B5373">
        <w:rPr>
          <w:sz w:val="20"/>
          <w:szCs w:val="20"/>
        </w:rPr>
      </w:r>
      <w:r w:rsidR="005B5373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[7]</w:t>
      </w:r>
      <w:r w:rsidR="005B5373">
        <w:rPr>
          <w:sz w:val="20"/>
          <w:szCs w:val="20"/>
        </w:rPr>
        <w:fldChar w:fldCharType="end"/>
      </w:r>
      <w:r w:rsidR="005B5373">
        <w:rPr>
          <w:sz w:val="20"/>
          <w:szCs w:val="20"/>
        </w:rPr>
        <w:t>-</w:t>
      </w:r>
      <w:r w:rsidR="005B5373">
        <w:rPr>
          <w:sz w:val="20"/>
          <w:szCs w:val="20"/>
        </w:rPr>
        <w:fldChar w:fldCharType="begin"/>
      </w:r>
      <w:r w:rsidR="005B5373">
        <w:rPr>
          <w:sz w:val="20"/>
          <w:szCs w:val="20"/>
        </w:rPr>
        <w:instrText xml:space="preserve"> REF _Ref489633868 \r \h </w:instrText>
      </w:r>
      <w:r w:rsidR="005B5373">
        <w:rPr>
          <w:sz w:val="20"/>
          <w:szCs w:val="20"/>
        </w:rPr>
      </w:r>
      <w:r w:rsidR="005B5373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[9]</w:t>
      </w:r>
      <w:r w:rsidR="005B5373">
        <w:rPr>
          <w:sz w:val="20"/>
          <w:szCs w:val="20"/>
        </w:rPr>
        <w:fldChar w:fldCharType="end"/>
      </w:r>
      <w:r w:rsidR="005B5373">
        <w:rPr>
          <w:sz w:val="20"/>
          <w:szCs w:val="20"/>
        </w:rPr>
        <w:t>,</w:t>
      </w:r>
      <w:r w:rsidR="005B5373">
        <w:rPr>
          <w:sz w:val="20"/>
          <w:szCs w:val="20"/>
        </w:rPr>
        <w:fldChar w:fldCharType="begin"/>
      </w:r>
      <w:r w:rsidR="005B5373">
        <w:rPr>
          <w:sz w:val="20"/>
          <w:szCs w:val="20"/>
        </w:rPr>
        <w:instrText xml:space="preserve"> REF _Ref489634035 \r \h </w:instrText>
      </w:r>
      <w:r w:rsidR="005B5373">
        <w:rPr>
          <w:sz w:val="20"/>
          <w:szCs w:val="20"/>
        </w:rPr>
      </w:r>
      <w:r w:rsidR="005B5373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[11]</w:t>
      </w:r>
      <w:r w:rsidR="005B5373">
        <w:rPr>
          <w:sz w:val="20"/>
          <w:szCs w:val="20"/>
        </w:rPr>
        <w:fldChar w:fldCharType="end"/>
      </w:r>
      <w:r>
        <w:rPr>
          <w:sz w:val="20"/>
          <w:szCs w:val="20"/>
        </w:rPr>
        <w:t>.</w:t>
      </w:r>
      <w:r w:rsidR="0044098B">
        <w:rPr>
          <w:sz w:val="20"/>
          <w:szCs w:val="20"/>
        </w:rPr>
        <w:t xml:space="preserve"> Moreover, only the Alamouti scheme</w:t>
      </w:r>
      <w:r w:rsidR="00E624C5">
        <w:rPr>
          <w:sz w:val="20"/>
          <w:szCs w:val="20"/>
        </w:rPr>
        <w:t>s</w:t>
      </w:r>
      <w:r w:rsidR="0044098B">
        <w:rPr>
          <w:sz w:val="20"/>
          <w:szCs w:val="20"/>
        </w:rPr>
        <w:t xml:space="preserve"> provide acceptable performance for relative speeds up to 500 km/h</w:t>
      </w:r>
      <w:r w:rsidR="00EE65EB">
        <w:rPr>
          <w:sz w:val="20"/>
          <w:szCs w:val="20"/>
        </w:rPr>
        <w:t xml:space="preserve"> </w:t>
      </w:r>
      <w:r w:rsidR="00EE65EB">
        <w:rPr>
          <w:sz w:val="20"/>
          <w:szCs w:val="20"/>
        </w:rPr>
        <w:fldChar w:fldCharType="begin"/>
      </w:r>
      <w:r w:rsidR="00EE65EB">
        <w:rPr>
          <w:sz w:val="20"/>
          <w:szCs w:val="20"/>
        </w:rPr>
        <w:instrText xml:space="preserve"> REF _Ref489633762 \r \h </w:instrText>
      </w:r>
      <w:r w:rsidR="00EE65EB">
        <w:rPr>
          <w:sz w:val="20"/>
          <w:szCs w:val="20"/>
        </w:rPr>
      </w:r>
      <w:r w:rsidR="00EE65EB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[8]</w:t>
      </w:r>
      <w:r w:rsidR="00EE65EB">
        <w:rPr>
          <w:sz w:val="20"/>
          <w:szCs w:val="20"/>
        </w:rPr>
        <w:fldChar w:fldCharType="end"/>
      </w:r>
      <w:r w:rsidR="00D126EC">
        <w:rPr>
          <w:sz w:val="20"/>
          <w:szCs w:val="20"/>
        </w:rPr>
        <w:t>,</w:t>
      </w:r>
      <w:r w:rsidR="00D126EC">
        <w:rPr>
          <w:sz w:val="20"/>
          <w:szCs w:val="20"/>
        </w:rPr>
        <w:fldChar w:fldCharType="begin"/>
      </w:r>
      <w:r w:rsidR="00D126EC">
        <w:rPr>
          <w:sz w:val="20"/>
          <w:szCs w:val="20"/>
        </w:rPr>
        <w:instrText xml:space="preserve"> REF _Ref489634035 \r \h </w:instrText>
      </w:r>
      <w:r w:rsidR="00D126EC">
        <w:rPr>
          <w:sz w:val="20"/>
          <w:szCs w:val="20"/>
        </w:rPr>
      </w:r>
      <w:r w:rsidR="00D126EC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[11]</w:t>
      </w:r>
      <w:r w:rsidR="00D126EC">
        <w:rPr>
          <w:sz w:val="20"/>
          <w:szCs w:val="20"/>
        </w:rPr>
        <w:fldChar w:fldCharType="end"/>
      </w:r>
      <w:r w:rsidR="0044098B">
        <w:rPr>
          <w:sz w:val="20"/>
          <w:szCs w:val="20"/>
        </w:rPr>
        <w:t>.</w:t>
      </w:r>
    </w:p>
    <w:p w14:paraId="6B4CC990" w14:textId="48F0E14D" w:rsidR="008606A4" w:rsidRDefault="008606A4" w:rsidP="00581794">
      <w:pPr>
        <w:pStyle w:val="BodyText"/>
        <w:numPr>
          <w:ilvl w:val="0"/>
          <w:numId w:val="41"/>
        </w:num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The gains of transmit diversity justify the specification work</w:t>
      </w:r>
      <w:r w:rsidR="00A53B72">
        <w:rPr>
          <w:sz w:val="20"/>
          <w:szCs w:val="20"/>
        </w:rPr>
        <w:t xml:space="preserve"> </w:t>
      </w:r>
      <w:r w:rsidR="005B5373">
        <w:rPr>
          <w:sz w:val="20"/>
          <w:szCs w:val="20"/>
        </w:rPr>
        <w:fldChar w:fldCharType="begin"/>
      </w:r>
      <w:r w:rsidR="005B5373">
        <w:rPr>
          <w:sz w:val="20"/>
          <w:szCs w:val="20"/>
        </w:rPr>
        <w:instrText xml:space="preserve"> REF _Ref489631528 \r \h </w:instrText>
      </w:r>
      <w:r w:rsidR="005B5373">
        <w:rPr>
          <w:sz w:val="20"/>
          <w:szCs w:val="20"/>
        </w:rPr>
      </w:r>
      <w:r w:rsidR="005B5373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[3]</w:t>
      </w:r>
      <w:r w:rsidR="005B5373">
        <w:rPr>
          <w:sz w:val="20"/>
          <w:szCs w:val="20"/>
        </w:rPr>
        <w:fldChar w:fldCharType="end"/>
      </w:r>
      <w:r w:rsidR="005B5373">
        <w:rPr>
          <w:sz w:val="20"/>
          <w:szCs w:val="20"/>
        </w:rPr>
        <w:t>,</w:t>
      </w:r>
      <w:r w:rsidR="00A53B72">
        <w:rPr>
          <w:sz w:val="20"/>
          <w:szCs w:val="20"/>
        </w:rPr>
        <w:fldChar w:fldCharType="begin"/>
      </w:r>
      <w:r w:rsidR="00A53B72">
        <w:rPr>
          <w:sz w:val="20"/>
          <w:szCs w:val="20"/>
        </w:rPr>
        <w:instrText xml:space="preserve"> REF _Ref489633106 \r \h </w:instrText>
      </w:r>
      <w:r w:rsidR="00A53B72">
        <w:rPr>
          <w:sz w:val="20"/>
          <w:szCs w:val="20"/>
        </w:rPr>
      </w:r>
      <w:r w:rsidR="00A53B72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[5]</w:t>
      </w:r>
      <w:r w:rsidR="00A53B72">
        <w:rPr>
          <w:sz w:val="20"/>
          <w:szCs w:val="20"/>
        </w:rPr>
        <w:fldChar w:fldCharType="end"/>
      </w:r>
      <w:r w:rsidR="005B5373">
        <w:rPr>
          <w:sz w:val="20"/>
          <w:szCs w:val="20"/>
        </w:rPr>
        <w:t>-</w:t>
      </w:r>
      <w:r w:rsidR="005B5373">
        <w:rPr>
          <w:sz w:val="20"/>
          <w:szCs w:val="20"/>
        </w:rPr>
        <w:fldChar w:fldCharType="begin"/>
      </w:r>
      <w:r w:rsidR="005B5373">
        <w:rPr>
          <w:sz w:val="20"/>
          <w:szCs w:val="20"/>
        </w:rPr>
        <w:instrText xml:space="preserve"> REF _Ref489633919 \r \h </w:instrText>
      </w:r>
      <w:r w:rsidR="005B5373">
        <w:rPr>
          <w:sz w:val="20"/>
          <w:szCs w:val="20"/>
        </w:rPr>
      </w:r>
      <w:r w:rsidR="005B5373">
        <w:rPr>
          <w:sz w:val="20"/>
          <w:szCs w:val="20"/>
        </w:rPr>
        <w:fldChar w:fldCharType="separate"/>
      </w:r>
      <w:r w:rsidR="001D790F">
        <w:rPr>
          <w:sz w:val="20"/>
          <w:szCs w:val="20"/>
        </w:rPr>
        <w:t>[10]</w:t>
      </w:r>
      <w:r w:rsidR="005B5373">
        <w:rPr>
          <w:sz w:val="20"/>
          <w:szCs w:val="20"/>
        </w:rPr>
        <w:fldChar w:fldCharType="end"/>
      </w:r>
      <w:r>
        <w:rPr>
          <w:sz w:val="20"/>
          <w:szCs w:val="20"/>
        </w:rPr>
        <w:t>.</w:t>
      </w:r>
    </w:p>
    <w:p w14:paraId="79E01E13" w14:textId="1A45F55C" w:rsidR="007819F8" w:rsidRPr="003810E1" w:rsidRDefault="007819F8" w:rsidP="007819F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6630A7DB" w14:textId="59DDED67" w:rsidR="002543B4" w:rsidRDefault="002543B4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PSCCH, CDD is the only possible transmit diversity scheme</w:t>
      </w:r>
      <w:r w:rsidR="00E624C5">
        <w:rPr>
          <w:b/>
          <w:i/>
          <w:sz w:val="20"/>
          <w:szCs w:val="20"/>
        </w:rPr>
        <w:t>.</w:t>
      </w:r>
    </w:p>
    <w:p w14:paraId="25EEBB23" w14:textId="0118ECD1" w:rsidR="007819F8" w:rsidRDefault="002543B4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PSSCH, the variations of the Alamouti scheme have best performance.</w:t>
      </w:r>
    </w:p>
    <w:p w14:paraId="3441B39E" w14:textId="1805C3B2" w:rsidR="008606A4" w:rsidRPr="008606A4" w:rsidRDefault="008606A4" w:rsidP="003000AC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8606A4">
        <w:rPr>
          <w:b/>
          <w:i/>
          <w:sz w:val="20"/>
          <w:szCs w:val="20"/>
        </w:rPr>
        <w:lastRenderedPageBreak/>
        <w:t>The gains of transmit diversity justify the specification work.</w:t>
      </w:r>
    </w:p>
    <w:p w14:paraId="45D15CF0" w14:textId="429C5A71" w:rsidR="00581794" w:rsidRDefault="00581794" w:rsidP="00581794">
      <w:pPr>
        <w:pStyle w:val="BodyText"/>
        <w:spacing w:after="240"/>
        <w:jc w:val="both"/>
        <w:rPr>
          <w:sz w:val="20"/>
          <w:szCs w:val="20"/>
        </w:rPr>
      </w:pPr>
      <w:r w:rsidRPr="00581794">
        <w:rPr>
          <w:sz w:val="20"/>
          <w:szCs w:val="20"/>
        </w:rPr>
        <w:t>Based on this observation, we propose the following.</w:t>
      </w:r>
    </w:p>
    <w:p w14:paraId="7F0528B3" w14:textId="179DFB00" w:rsidR="00581794" w:rsidRPr="003810E1" w:rsidRDefault="00581794" w:rsidP="00581794">
      <w:pPr>
        <w:pStyle w:val="BodyText"/>
        <w:spacing w:after="240"/>
        <w:jc w:val="both"/>
        <w:rPr>
          <w:i/>
        </w:rPr>
      </w:pPr>
      <w:r>
        <w:rPr>
          <w:b/>
          <w:i/>
          <w:sz w:val="20"/>
          <w:szCs w:val="20"/>
        </w:rPr>
        <w:t>Proposal</w:t>
      </w:r>
      <w:r w:rsidRPr="003810E1">
        <w:rPr>
          <w:b/>
          <w:i/>
          <w:sz w:val="20"/>
          <w:szCs w:val="20"/>
        </w:rPr>
        <w:t>:</w:t>
      </w:r>
    </w:p>
    <w:p w14:paraId="03F7564A" w14:textId="2A6F81B6" w:rsidR="00581794" w:rsidRDefault="00581794" w:rsidP="00581794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RAN1 will </w:t>
      </w:r>
      <w:r w:rsidR="002543B4">
        <w:rPr>
          <w:b/>
          <w:i/>
          <w:sz w:val="20"/>
          <w:szCs w:val="20"/>
        </w:rPr>
        <w:t>specify transmit diversity for V2X in Release 15:</w:t>
      </w:r>
    </w:p>
    <w:p w14:paraId="42B600B7" w14:textId="6F81D3AC" w:rsidR="00581794" w:rsidRDefault="002543B4" w:rsidP="00581794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PSCCH, transmit diversity is based on CDD.</w:t>
      </w:r>
    </w:p>
    <w:p w14:paraId="62A24F57" w14:textId="1B913A8C" w:rsidR="002543B4" w:rsidRDefault="002543B4" w:rsidP="00581794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PSSCH, RAN1 will specify transmit diversity based on the Alamouti scheme.</w:t>
      </w:r>
    </w:p>
    <w:p w14:paraId="034683A9" w14:textId="77777777" w:rsidR="00581794" w:rsidRPr="00581794" w:rsidRDefault="00581794" w:rsidP="00581794">
      <w:pPr>
        <w:pStyle w:val="BodyText"/>
        <w:spacing w:after="240"/>
        <w:jc w:val="both"/>
        <w:rPr>
          <w:sz w:val="20"/>
          <w:szCs w:val="20"/>
        </w:rPr>
      </w:pPr>
    </w:p>
    <w:p w14:paraId="3C4455C8" w14:textId="63F4077C" w:rsidR="00706C19" w:rsidRPr="00744368" w:rsidRDefault="00706C19" w:rsidP="00706C19">
      <w:pPr>
        <w:pStyle w:val="Heading1"/>
      </w:pPr>
      <w:bookmarkStart w:id="5" w:name="_Ref481578585"/>
      <w:bookmarkEnd w:id="5"/>
      <w:r w:rsidRPr="00744368">
        <w:t xml:space="preserve">Conclusion </w:t>
      </w:r>
    </w:p>
    <w:p w14:paraId="08D69081" w14:textId="7E68593C" w:rsidR="00437BDD" w:rsidRDefault="002543B4" w:rsidP="003306ED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This contribution summarizes our conclusion on the specification of transmit diversity for V2X. We have observed and proposed the following:</w:t>
      </w:r>
    </w:p>
    <w:p w14:paraId="7FBD61E6" w14:textId="77777777" w:rsidR="002543B4" w:rsidRPr="003810E1" w:rsidRDefault="002543B4" w:rsidP="002543B4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1F61A360" w14:textId="351E4D13" w:rsidR="002543B4" w:rsidRDefault="002543B4" w:rsidP="002543B4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PSCCH, CDD is the only possible transmit diversity scheme</w:t>
      </w:r>
      <w:r w:rsidR="00E624C5">
        <w:rPr>
          <w:b/>
          <w:i/>
          <w:sz w:val="20"/>
          <w:szCs w:val="20"/>
        </w:rPr>
        <w:t>.</w:t>
      </w:r>
    </w:p>
    <w:p w14:paraId="7FC56639" w14:textId="1E124B89" w:rsidR="002543B4" w:rsidRDefault="002543B4" w:rsidP="002543B4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PSSCH, the variations of the Alamouti scheme have best performance.</w:t>
      </w:r>
    </w:p>
    <w:p w14:paraId="3EE89A9D" w14:textId="646A1B04" w:rsidR="008606A4" w:rsidRPr="008606A4" w:rsidRDefault="008606A4" w:rsidP="00296624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8606A4">
        <w:rPr>
          <w:b/>
          <w:i/>
          <w:sz w:val="20"/>
          <w:szCs w:val="20"/>
        </w:rPr>
        <w:t>The gains of transmit diversity justify the specification work.</w:t>
      </w:r>
    </w:p>
    <w:p w14:paraId="4D510E63" w14:textId="77777777" w:rsidR="002543B4" w:rsidRPr="003810E1" w:rsidRDefault="002543B4" w:rsidP="002543B4">
      <w:pPr>
        <w:pStyle w:val="BodyText"/>
        <w:spacing w:after="240"/>
        <w:jc w:val="both"/>
        <w:rPr>
          <w:i/>
        </w:rPr>
      </w:pPr>
      <w:r>
        <w:rPr>
          <w:b/>
          <w:i/>
          <w:sz w:val="20"/>
          <w:szCs w:val="20"/>
        </w:rPr>
        <w:t>Proposal</w:t>
      </w:r>
      <w:r w:rsidRPr="003810E1">
        <w:rPr>
          <w:b/>
          <w:i/>
          <w:sz w:val="20"/>
          <w:szCs w:val="20"/>
        </w:rPr>
        <w:t>:</w:t>
      </w:r>
    </w:p>
    <w:p w14:paraId="39A1D16B" w14:textId="4A16ED7F" w:rsidR="002543B4" w:rsidRDefault="002543B4" w:rsidP="002543B4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RAN1 </w:t>
      </w:r>
      <w:r w:rsidR="007C0A69">
        <w:rPr>
          <w:b/>
          <w:i/>
          <w:sz w:val="20"/>
          <w:szCs w:val="20"/>
        </w:rPr>
        <w:t xml:space="preserve">to </w:t>
      </w:r>
      <w:r>
        <w:rPr>
          <w:b/>
          <w:i/>
          <w:sz w:val="20"/>
          <w:szCs w:val="20"/>
        </w:rPr>
        <w:t>specify transmit diversity for V2X in Release 15:</w:t>
      </w:r>
    </w:p>
    <w:p w14:paraId="0FEBCD77" w14:textId="2AD6D254" w:rsidR="002543B4" w:rsidRDefault="002543B4" w:rsidP="002543B4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For PSCCH, </w:t>
      </w:r>
      <w:r w:rsidR="00A86495">
        <w:rPr>
          <w:b/>
          <w:i/>
          <w:sz w:val="20"/>
          <w:szCs w:val="20"/>
        </w:rPr>
        <w:t xml:space="preserve">RAN1 to specify </w:t>
      </w:r>
      <w:r>
        <w:rPr>
          <w:b/>
          <w:i/>
          <w:sz w:val="20"/>
          <w:szCs w:val="20"/>
        </w:rPr>
        <w:t>transmit diversity is based on CDD.</w:t>
      </w:r>
    </w:p>
    <w:p w14:paraId="64360EAB" w14:textId="28B26D41" w:rsidR="002543B4" w:rsidRDefault="002543B4" w:rsidP="002543B4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For PSSCH, RAN1 </w:t>
      </w:r>
      <w:r w:rsidR="00A86495">
        <w:rPr>
          <w:b/>
          <w:i/>
          <w:sz w:val="20"/>
          <w:szCs w:val="20"/>
        </w:rPr>
        <w:t xml:space="preserve">to </w:t>
      </w:r>
      <w:r>
        <w:rPr>
          <w:b/>
          <w:i/>
          <w:sz w:val="20"/>
          <w:szCs w:val="20"/>
        </w:rPr>
        <w:t>specify transmit diversity based on the Alamouti scheme.</w:t>
      </w:r>
    </w:p>
    <w:p w14:paraId="04345301" w14:textId="77777777" w:rsidR="002543B4" w:rsidRPr="002543B4" w:rsidRDefault="002543B4" w:rsidP="003306ED">
      <w:pPr>
        <w:pStyle w:val="BodyText"/>
        <w:spacing w:after="240"/>
        <w:jc w:val="both"/>
        <w:rPr>
          <w:sz w:val="20"/>
          <w:szCs w:val="20"/>
        </w:rPr>
      </w:pP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08A9F004" w14:textId="61632E02" w:rsidR="00517AB9" w:rsidRDefault="003306ED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6" w:name="_Ref462922309"/>
      <w:bookmarkStart w:id="7" w:name="_Ref450915949"/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RP-171069, “V2X phase 2 based on LTE” WID, Huawei, CATT, LG Electronics, China Unicom</w:t>
      </w:r>
    </w:p>
    <w:p w14:paraId="7A3C2254" w14:textId="01F995B9" w:rsidR="00517AB9" w:rsidRPr="00517AB9" w:rsidRDefault="00517AB9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8" w:name="_Ref489631311"/>
      <w:r w:rsidRPr="00517AB9">
        <w:rPr>
          <w:rFonts w:ascii="Times New Roman" w:hAnsi="Times New Roman" w:cs="Times New Roman"/>
          <w:sz w:val="20"/>
          <w:szCs w:val="20"/>
        </w:rPr>
        <w:t>R1-1705127</w:t>
      </w:r>
      <w:r w:rsidRPr="00517AB9">
        <w:rPr>
          <w:rFonts w:ascii="Times New Roman" w:hAnsi="Times New Roman" w:cs="Times New Roman"/>
          <w:sz w:val="20"/>
          <w:szCs w:val="20"/>
        </w:rPr>
        <w:tab/>
        <w:t>Workplan for 3GPP V2X Phase 2</w:t>
      </w:r>
      <w:r w:rsidRPr="00517AB9">
        <w:rPr>
          <w:rFonts w:ascii="Times New Roman" w:hAnsi="Times New Roman" w:cs="Times New Roman"/>
          <w:sz w:val="20"/>
          <w:szCs w:val="20"/>
        </w:rPr>
        <w:tab/>
        <w:t>Huawei, CATT, LGE</w:t>
      </w:r>
      <w:bookmarkEnd w:id="8"/>
    </w:p>
    <w:p w14:paraId="7AB8CE8E" w14:textId="2951CBD1" w:rsidR="00DF3FAA" w:rsidRPr="00693EB2" w:rsidRDefault="00DF3FAA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9" w:name="_Ref489631528"/>
      <w:r w:rsidRPr="001D790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693EB2" w:rsidRPr="001D790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17</w:t>
      </w:r>
      <w:r w:rsidR="00693EB2" w:rsidRPr="00693EB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12655 </w:t>
      </w:r>
      <w:r w:rsidR="001E35C7" w:rsidRPr="00693EB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“Transmit diversity solutions for Rel-15 PSCCH and PSSCH transmissions</w:t>
      </w:r>
      <w:r w:rsidR="001329AC" w:rsidRPr="00693EB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</w:t>
      </w:r>
      <w:r w:rsidR="001E35C7" w:rsidRPr="00693EB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</w:t>
      </w:r>
      <w:r w:rsidR="001329AC" w:rsidRPr="00693EB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693EB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6"/>
      <w:bookmarkEnd w:id="9"/>
    </w:p>
    <w:p w14:paraId="155D16AB" w14:textId="0A85C36E" w:rsidR="009363F4" w:rsidRPr="00693EB2" w:rsidRDefault="00E624C5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0" w:name="_Ref489630406"/>
      <w:r w:rsidRPr="001D790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</w:t>
      </w:r>
      <w:r w:rsidR="00693EB2" w:rsidRPr="001D790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12656</w:t>
      </w:r>
      <w:r w:rsidRPr="001D790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“Evaluation for transmit diversity for V2X,” Ericsson</w:t>
      </w:r>
      <w:bookmarkEnd w:id="10"/>
    </w:p>
    <w:p w14:paraId="630508CE" w14:textId="77777777" w:rsidR="00A53B72" w:rsidRPr="00AC00AF" w:rsidRDefault="00A53B72" w:rsidP="00A53B72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1" w:name="_Ref489633106"/>
      <w:bookmarkEnd w:id="7"/>
      <w:r w:rsidRPr="00AC00AF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R1-1707004</w:t>
      </w:r>
      <w:r w:rsidRPr="00AC00AF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ab/>
        <w:t>“Evaluation results of transmit diversity solutions for R15 sidelink”, Huawei, HiSilicon</w:t>
      </w:r>
      <w:bookmarkEnd w:id="11"/>
    </w:p>
    <w:p w14:paraId="478357AC" w14:textId="77777777" w:rsidR="00A53B72" w:rsidRPr="00AC00AF" w:rsidRDefault="00A53B72" w:rsidP="00A53B72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2" w:name="_Ref489633414"/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R1-1707305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“Evaluation of candidate transmit diversity schemes for LTE V2V sidelink communication”, Intel Corporation</w:t>
      </w:r>
      <w:bookmarkEnd w:id="12"/>
    </w:p>
    <w:p w14:paraId="5717384E" w14:textId="77777777" w:rsidR="005B5373" w:rsidRPr="00AC00AF" w:rsidRDefault="00A53B72" w:rsidP="005B5373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3" w:name="_Ref489633640"/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R1-1707452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Initial evaluation for Tx diversity schemes in PC5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CATT</w:t>
      </w:r>
      <w:bookmarkEnd w:id="13"/>
    </w:p>
    <w:p w14:paraId="375B1545" w14:textId="77777777" w:rsidR="005B5373" w:rsidRPr="00AC00AF" w:rsidRDefault="005B5373" w:rsidP="005B5373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4" w:name="_Ref489633762"/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R1-1707563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Initial evaluation results for TxD schemes in the PC5 operation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LG Electronics</w:t>
      </w:r>
      <w:bookmarkEnd w:id="14"/>
    </w:p>
    <w:p w14:paraId="5FEF184B" w14:textId="77777777" w:rsidR="005B5373" w:rsidRPr="00AC00AF" w:rsidRDefault="005B5373" w:rsidP="005B5373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5" w:name="_Ref489633868"/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R1-1707910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Evaluation results for Tx diversity for PSCCH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Samsung</w:t>
      </w:r>
      <w:bookmarkEnd w:id="15"/>
    </w:p>
    <w:p w14:paraId="53DD6440" w14:textId="794E2AE0" w:rsidR="005B5373" w:rsidRPr="00AC00AF" w:rsidRDefault="005B5373" w:rsidP="005B5373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6" w:name="_Ref489633919"/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693EB2"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170</w:t>
      </w:r>
      <w:r w:rsidR="00693EB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9157 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Initial evaluation for transmit diversity for V2X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Ericsson LM</w:t>
      </w:r>
      <w:bookmarkEnd w:id="16"/>
    </w:p>
    <w:p w14:paraId="56ADCA42" w14:textId="5E7F4741" w:rsidR="005B5373" w:rsidRPr="005B5373" w:rsidRDefault="005B5373" w:rsidP="005B5373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7" w:name="_Ref489634035"/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R1-1708559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Initial evaluations of transmit diversity schemes for V2X PC5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Nokia, Alcatel-Lucent Shanghai</w:t>
      </w:r>
      <w:r w:rsidRPr="005B5373">
        <w:rPr>
          <w:color w:val="312E25"/>
          <w:lang w:eastAsia="sv-SE"/>
        </w:rPr>
        <w:t xml:space="preserve"> Bell</w:t>
      </w:r>
      <w:bookmarkEnd w:id="17"/>
    </w:p>
    <w:sectPr w:rsidR="005B5373" w:rsidRPr="005B5373" w:rsidSect="004B31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A95A3" w14:textId="77777777" w:rsidR="00CA430D" w:rsidRDefault="00CA430D">
      <w:r>
        <w:separator/>
      </w:r>
    </w:p>
  </w:endnote>
  <w:endnote w:type="continuationSeparator" w:id="0">
    <w:p w14:paraId="7A0A881C" w14:textId="77777777" w:rsidR="00CA430D" w:rsidRDefault="00CA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4F01D" w14:textId="77777777" w:rsidR="00CA430D" w:rsidRDefault="00CA430D">
      <w:r>
        <w:separator/>
      </w:r>
    </w:p>
  </w:footnote>
  <w:footnote w:type="continuationSeparator" w:id="0">
    <w:p w14:paraId="3E09D9EE" w14:textId="77777777" w:rsidR="00CA430D" w:rsidRDefault="00CA4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B5062"/>
    <w:multiLevelType w:val="hybridMultilevel"/>
    <w:tmpl w:val="F8264FE0"/>
    <w:lvl w:ilvl="0" w:tplc="93408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8646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A6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08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9AE0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2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0B3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78C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80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16404372"/>
    <w:multiLevelType w:val="hybridMultilevel"/>
    <w:tmpl w:val="AB683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D745C"/>
    <w:multiLevelType w:val="hybridMultilevel"/>
    <w:tmpl w:val="AD0AD9B2"/>
    <w:lvl w:ilvl="0" w:tplc="AADEA4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60B2749"/>
    <w:multiLevelType w:val="hybridMultilevel"/>
    <w:tmpl w:val="8DEC0BF4"/>
    <w:lvl w:ilvl="0" w:tplc="2AB0FD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16222"/>
    <w:multiLevelType w:val="hybridMultilevel"/>
    <w:tmpl w:val="3BB87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1D0523"/>
    <w:multiLevelType w:val="hybridMultilevel"/>
    <w:tmpl w:val="6818C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D40B0"/>
    <w:multiLevelType w:val="hybridMultilevel"/>
    <w:tmpl w:val="78C82F1C"/>
    <w:lvl w:ilvl="0" w:tplc="F18E82D4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0D36C4"/>
    <w:multiLevelType w:val="hybridMultilevel"/>
    <w:tmpl w:val="776E3462"/>
    <w:lvl w:ilvl="0" w:tplc="54D049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7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3"/>
  </w:num>
  <w:num w:numId="2">
    <w:abstractNumId w:val="35"/>
  </w:num>
  <w:num w:numId="3">
    <w:abstractNumId w:val="32"/>
  </w:num>
  <w:num w:numId="4">
    <w:abstractNumId w:val="15"/>
  </w:num>
  <w:num w:numId="5">
    <w:abstractNumId w:val="19"/>
  </w:num>
  <w:num w:numId="6">
    <w:abstractNumId w:val="36"/>
  </w:num>
  <w:num w:numId="7">
    <w:abstractNumId w:val="3"/>
  </w:num>
  <w:num w:numId="8">
    <w:abstractNumId w:val="28"/>
  </w:num>
  <w:num w:numId="9">
    <w:abstractNumId w:val="13"/>
  </w:num>
  <w:num w:numId="10">
    <w:abstractNumId w:val="21"/>
  </w:num>
  <w:num w:numId="11">
    <w:abstractNumId w:val="37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1"/>
  </w:num>
  <w:num w:numId="17">
    <w:abstractNumId w:val="29"/>
  </w:num>
  <w:num w:numId="18">
    <w:abstractNumId w:val="6"/>
  </w:num>
  <w:num w:numId="19">
    <w:abstractNumId w:val="9"/>
  </w:num>
  <w:num w:numId="20">
    <w:abstractNumId w:val="33"/>
  </w:num>
  <w:num w:numId="21">
    <w:abstractNumId w:val="8"/>
  </w:num>
  <w:num w:numId="22">
    <w:abstractNumId w:val="11"/>
  </w:num>
  <w:num w:numId="23">
    <w:abstractNumId w:val="17"/>
  </w:num>
  <w:num w:numId="24">
    <w:abstractNumId w:val="4"/>
  </w:num>
  <w:num w:numId="25">
    <w:abstractNumId w:val="7"/>
  </w:num>
  <w:num w:numId="26">
    <w:abstractNumId w:val="12"/>
  </w:num>
  <w:num w:numId="27">
    <w:abstractNumId w:val="18"/>
  </w:num>
  <w:num w:numId="28">
    <w:abstractNumId w:val="2"/>
  </w:num>
  <w:num w:numId="29">
    <w:abstractNumId w:val="27"/>
  </w:num>
  <w:num w:numId="30">
    <w:abstractNumId w:val="26"/>
  </w:num>
  <w:num w:numId="31">
    <w:abstractNumId w:val="30"/>
  </w:num>
  <w:num w:numId="32">
    <w:abstractNumId w:val="10"/>
  </w:num>
  <w:num w:numId="33">
    <w:abstractNumId w:val="14"/>
  </w:num>
  <w:num w:numId="34">
    <w:abstractNumId w:val="1"/>
  </w:num>
  <w:num w:numId="35">
    <w:abstractNumId w:val="22"/>
  </w:num>
  <w:num w:numId="36">
    <w:abstractNumId w:val="16"/>
  </w:num>
  <w:num w:numId="37">
    <w:abstractNumId w:val="20"/>
  </w:num>
  <w:num w:numId="38">
    <w:abstractNumId w:val="32"/>
  </w:num>
  <w:num w:numId="39">
    <w:abstractNumId w:val="5"/>
  </w:num>
  <w:num w:numId="40">
    <w:abstractNumId w:val="24"/>
  </w:num>
  <w:num w:numId="41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5AF"/>
    <w:rsid w:val="00007C3F"/>
    <w:rsid w:val="00007CC8"/>
    <w:rsid w:val="00007E7A"/>
    <w:rsid w:val="000107C7"/>
    <w:rsid w:val="000107E1"/>
    <w:rsid w:val="00010A15"/>
    <w:rsid w:val="00010F6D"/>
    <w:rsid w:val="00011C06"/>
    <w:rsid w:val="0001219E"/>
    <w:rsid w:val="000122AD"/>
    <w:rsid w:val="0001275C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53E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B80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1A1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E38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08AA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6D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2EA"/>
    <w:rsid w:val="00097B91"/>
    <w:rsid w:val="00097E2F"/>
    <w:rsid w:val="00097E3C"/>
    <w:rsid w:val="000A0702"/>
    <w:rsid w:val="000A0BB1"/>
    <w:rsid w:val="000A0BEA"/>
    <w:rsid w:val="000A0D1F"/>
    <w:rsid w:val="000A0DBD"/>
    <w:rsid w:val="000A1030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0A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2A1F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271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4A31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4B7E"/>
    <w:rsid w:val="00124F29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9AC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49E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220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25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8B2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C7A97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B0D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90F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5C7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10A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6FD3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A35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61A"/>
    <w:rsid w:val="00253DB0"/>
    <w:rsid w:val="002543B4"/>
    <w:rsid w:val="00254D97"/>
    <w:rsid w:val="00254DF1"/>
    <w:rsid w:val="00254E25"/>
    <w:rsid w:val="00254E8E"/>
    <w:rsid w:val="00255314"/>
    <w:rsid w:val="0025575B"/>
    <w:rsid w:val="00255884"/>
    <w:rsid w:val="00255BAB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3CE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1F6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6B4"/>
    <w:rsid w:val="00310BEA"/>
    <w:rsid w:val="00310CE1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07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6ED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3EF3"/>
    <w:rsid w:val="00344383"/>
    <w:rsid w:val="003443AA"/>
    <w:rsid w:val="003448B5"/>
    <w:rsid w:val="003453BC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5D6"/>
    <w:rsid w:val="00362B27"/>
    <w:rsid w:val="00362B8F"/>
    <w:rsid w:val="00363261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6E3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E70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7C4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1E6"/>
    <w:rsid w:val="003917E7"/>
    <w:rsid w:val="00391F1F"/>
    <w:rsid w:val="0039224D"/>
    <w:rsid w:val="0039244A"/>
    <w:rsid w:val="00393419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2C1"/>
    <w:rsid w:val="003B18C3"/>
    <w:rsid w:val="003B1AB3"/>
    <w:rsid w:val="003B1ED2"/>
    <w:rsid w:val="003B251C"/>
    <w:rsid w:val="003B26F1"/>
    <w:rsid w:val="003B2FDE"/>
    <w:rsid w:val="003B3077"/>
    <w:rsid w:val="003B31C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5FF4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2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AF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192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584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B0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37BDD"/>
    <w:rsid w:val="00440391"/>
    <w:rsid w:val="0044098B"/>
    <w:rsid w:val="00440E3D"/>
    <w:rsid w:val="004411FC"/>
    <w:rsid w:val="0044126B"/>
    <w:rsid w:val="00441311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3EBC"/>
    <w:rsid w:val="00454738"/>
    <w:rsid w:val="004548A4"/>
    <w:rsid w:val="00454B1E"/>
    <w:rsid w:val="00455292"/>
    <w:rsid w:val="004552AF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57DD1"/>
    <w:rsid w:val="00460357"/>
    <w:rsid w:val="0046085C"/>
    <w:rsid w:val="004609B5"/>
    <w:rsid w:val="004610B1"/>
    <w:rsid w:val="004612F3"/>
    <w:rsid w:val="004618C1"/>
    <w:rsid w:val="00461998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3DD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5C0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3EE2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94A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17AB9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210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3D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794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B24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373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33D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4CF3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4ECE"/>
    <w:rsid w:val="005E5183"/>
    <w:rsid w:val="005E592C"/>
    <w:rsid w:val="005E5BC3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05E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785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20B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04C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5CA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EB2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56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7D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2E4F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1C84"/>
    <w:rsid w:val="00712447"/>
    <w:rsid w:val="00712525"/>
    <w:rsid w:val="00712F0B"/>
    <w:rsid w:val="007134AE"/>
    <w:rsid w:val="0071388B"/>
    <w:rsid w:val="0071391C"/>
    <w:rsid w:val="00713B89"/>
    <w:rsid w:val="00713C8A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07B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4D1B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F8"/>
    <w:rsid w:val="00781C3F"/>
    <w:rsid w:val="00781F57"/>
    <w:rsid w:val="00782035"/>
    <w:rsid w:val="007820B6"/>
    <w:rsid w:val="007825F9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682E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A69"/>
    <w:rsid w:val="007C0FF9"/>
    <w:rsid w:val="007C15BB"/>
    <w:rsid w:val="007C164B"/>
    <w:rsid w:val="007C16C7"/>
    <w:rsid w:val="007C17EF"/>
    <w:rsid w:val="007C19E4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0FC8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0B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5E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6A4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C4D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8A7"/>
    <w:rsid w:val="00894B20"/>
    <w:rsid w:val="00894BBA"/>
    <w:rsid w:val="00894EA3"/>
    <w:rsid w:val="00895701"/>
    <w:rsid w:val="0089580B"/>
    <w:rsid w:val="00895AEC"/>
    <w:rsid w:val="00895FD5"/>
    <w:rsid w:val="0089600C"/>
    <w:rsid w:val="00896554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80"/>
    <w:rsid w:val="008B3692"/>
    <w:rsid w:val="008B3834"/>
    <w:rsid w:val="008B3937"/>
    <w:rsid w:val="008B43B8"/>
    <w:rsid w:val="008B4922"/>
    <w:rsid w:val="008B4D73"/>
    <w:rsid w:val="008B5ABD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42B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28"/>
    <w:rsid w:val="008E466A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00"/>
    <w:rsid w:val="008F1776"/>
    <w:rsid w:val="008F1809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B3"/>
    <w:rsid w:val="009113FB"/>
    <w:rsid w:val="009118BC"/>
    <w:rsid w:val="009118E5"/>
    <w:rsid w:val="00911B40"/>
    <w:rsid w:val="00912077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C55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ABA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3F4"/>
    <w:rsid w:val="0093695D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ACF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D26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FE5"/>
    <w:rsid w:val="009711F5"/>
    <w:rsid w:val="009716F0"/>
    <w:rsid w:val="009721C8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DA2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28"/>
    <w:rsid w:val="009B77D4"/>
    <w:rsid w:val="009B7946"/>
    <w:rsid w:val="009C0161"/>
    <w:rsid w:val="009C0229"/>
    <w:rsid w:val="009C022C"/>
    <w:rsid w:val="009C02D2"/>
    <w:rsid w:val="009C0580"/>
    <w:rsid w:val="009C0783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9A7"/>
    <w:rsid w:val="009E3C66"/>
    <w:rsid w:val="009E3E50"/>
    <w:rsid w:val="009E3E74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897"/>
    <w:rsid w:val="00A45AA5"/>
    <w:rsid w:val="00A45C86"/>
    <w:rsid w:val="00A45FE0"/>
    <w:rsid w:val="00A462CB"/>
    <w:rsid w:val="00A466C2"/>
    <w:rsid w:val="00A46E7F"/>
    <w:rsid w:val="00A479A8"/>
    <w:rsid w:val="00A47E70"/>
    <w:rsid w:val="00A50356"/>
    <w:rsid w:val="00A5047F"/>
    <w:rsid w:val="00A511E3"/>
    <w:rsid w:val="00A51B75"/>
    <w:rsid w:val="00A51BCD"/>
    <w:rsid w:val="00A51F1F"/>
    <w:rsid w:val="00A5214F"/>
    <w:rsid w:val="00A533BD"/>
    <w:rsid w:val="00A53B72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19E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495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4B6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32B"/>
    <w:rsid w:val="00AB6B75"/>
    <w:rsid w:val="00AB6EC1"/>
    <w:rsid w:val="00AB7147"/>
    <w:rsid w:val="00AB7426"/>
    <w:rsid w:val="00AB777B"/>
    <w:rsid w:val="00AB79E0"/>
    <w:rsid w:val="00AB7CC2"/>
    <w:rsid w:val="00AC00AF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27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E3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69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D1"/>
    <w:rsid w:val="00AF15E5"/>
    <w:rsid w:val="00AF1A08"/>
    <w:rsid w:val="00AF1BF0"/>
    <w:rsid w:val="00AF24EC"/>
    <w:rsid w:val="00AF2893"/>
    <w:rsid w:val="00AF2A87"/>
    <w:rsid w:val="00AF2CAF"/>
    <w:rsid w:val="00AF3166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6C64"/>
    <w:rsid w:val="00B07776"/>
    <w:rsid w:val="00B07D83"/>
    <w:rsid w:val="00B07DDD"/>
    <w:rsid w:val="00B100E8"/>
    <w:rsid w:val="00B10438"/>
    <w:rsid w:val="00B10E35"/>
    <w:rsid w:val="00B110CA"/>
    <w:rsid w:val="00B115CA"/>
    <w:rsid w:val="00B120FE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30A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594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5F80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8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F7D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6FC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7B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479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0BF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8D0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4DCB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99B"/>
    <w:rsid w:val="00C03DB9"/>
    <w:rsid w:val="00C03DE5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3E5A"/>
    <w:rsid w:val="00C33F51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246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29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30D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5EF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306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93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6EC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1682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30A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7C1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CDD"/>
    <w:rsid w:val="00D96F29"/>
    <w:rsid w:val="00D9742F"/>
    <w:rsid w:val="00D97A3B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054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8C7"/>
    <w:rsid w:val="00DB3AB9"/>
    <w:rsid w:val="00DB3DC7"/>
    <w:rsid w:val="00DB3E45"/>
    <w:rsid w:val="00DB43B0"/>
    <w:rsid w:val="00DB596B"/>
    <w:rsid w:val="00DB5DFD"/>
    <w:rsid w:val="00DB5E37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28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B47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4C5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4A9B"/>
    <w:rsid w:val="00E7536B"/>
    <w:rsid w:val="00E7564A"/>
    <w:rsid w:val="00E75736"/>
    <w:rsid w:val="00E75D93"/>
    <w:rsid w:val="00E765F9"/>
    <w:rsid w:val="00E76F7C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C9F"/>
    <w:rsid w:val="00EE5F5E"/>
    <w:rsid w:val="00EE65EB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330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FAB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7F7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560"/>
    <w:rsid w:val="00F44B0A"/>
    <w:rsid w:val="00F44CF0"/>
    <w:rsid w:val="00F44F52"/>
    <w:rsid w:val="00F45319"/>
    <w:rsid w:val="00F45882"/>
    <w:rsid w:val="00F45EBD"/>
    <w:rsid w:val="00F45FF2"/>
    <w:rsid w:val="00F46028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3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CAD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307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5A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A9F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0C92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0B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0B28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paragraph" w:customStyle="1" w:styleId="NumberedList">
    <w:name w:val="Numbered List"/>
    <w:basedOn w:val="Normal"/>
    <w:rsid w:val="003453BC"/>
    <w:pPr>
      <w:numPr>
        <w:numId w:val="33"/>
      </w:numPr>
      <w:spacing w:after="0"/>
      <w:jc w:val="both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2017-08-11T12:34:00Z</dcterms:created>
  <dcterms:modified xsi:type="dcterms:W3CDTF">2017-08-11T12:34:00Z</dcterms:modified>
</cp:coreProperties>
</file>